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62" w:rsidRPr="00460028" w:rsidRDefault="00013689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3746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72156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8" distR="114298" simplePos="0" relativeHeight="251659776" behindDoc="0" locked="0" layoutInCell="1" allowOverlap="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73102" id="Line 116" o:spid="_x0000_s1026" style="position:absolute;flip:y;z-index:251659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9B28ED"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CF54B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  <w:p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9D52FE" w:rsidRDefault="00CF54B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Test</w:t>
                            </w:r>
                            <w:r w:rsidR="009D52FE" w:rsidRP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D2E47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M</w:t>
                            </w:r>
                            <w:r w:rsidR="009D52FE" w:rsidRPr="009D52FE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odel</w:t>
                            </w:r>
                          </w:p>
                          <w:p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CF54B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8</w:t>
                      </w:r>
                    </w:p>
                    <w:p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9D52FE" w:rsidRDefault="00CF54B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Test</w:t>
                      </w:r>
                      <w:r w:rsidR="009D52FE" w:rsidRP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BD2E47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M</w:t>
                      </w:r>
                      <w:r w:rsidR="009D52FE" w:rsidRPr="009D52FE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odel</w:t>
                      </w:r>
                    </w:p>
                    <w:p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Plattetekst"/>
            </w:pPr>
          </w:p>
        </w:tc>
      </w:tr>
    </w:tbl>
    <w:p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:rsidR="009E1230" w:rsidRPr="00DF6EB4" w:rsidRDefault="005D08CF" w:rsidP="00DF6EB4">
      <w:pPr>
        <w:pStyle w:val="Bloktekst"/>
      </w:pPr>
      <w:r w:rsidRPr="009D52FE">
        <w:t xml:space="preserve">Appendix </w:t>
      </w:r>
      <w:r w:rsidR="00CF54B2">
        <w:t>8</w:t>
      </w:r>
      <w:r w:rsidRPr="009D52FE">
        <w:t xml:space="preserve"> </w:t>
      </w:r>
      <w:r w:rsidR="009D52FE" w:rsidRPr="009D52FE">
        <w:t>–</w:t>
      </w:r>
      <w:r w:rsidRPr="009D52FE">
        <w:t xml:space="preserve"> </w:t>
      </w:r>
      <w:r w:rsidR="00CF54B2">
        <w:t>Test</w:t>
      </w:r>
      <w:r w:rsidR="009D52FE">
        <w:t xml:space="preserve"> Model</w:t>
      </w:r>
    </w:p>
    <w:p w:rsidR="009E1230" w:rsidRPr="00460028" w:rsidRDefault="009E1230"/>
    <w:p w:rsidR="00460028" w:rsidRPr="00EA4919" w:rsidRDefault="00460028" w:rsidP="00E22226">
      <w:pPr>
        <w:pStyle w:val="Titel"/>
        <w:rPr>
          <w:lang w:val="de-DE"/>
        </w:rPr>
      </w:pPr>
      <w:r w:rsidRPr="00EA4919">
        <w:rPr>
          <w:lang w:val="de-DE"/>
        </w:rPr>
        <w:t>Table of Contents</w:t>
      </w:r>
    </w:p>
    <w:p w:rsidR="005207B2" w:rsidRPr="009D52FE" w:rsidRDefault="00644725" w:rsidP="002D4569">
      <w:pPr>
        <w:pStyle w:val="Platteteks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:rsidR="00E22226" w:rsidRPr="00EA4919" w:rsidRDefault="00E22226" w:rsidP="00E22226">
      <w:pPr>
        <w:pStyle w:val="Titel"/>
        <w:rPr>
          <w:lang w:val="de-DE"/>
        </w:rPr>
      </w:pPr>
      <w:r w:rsidRPr="00EA4919">
        <w:rPr>
          <w:lang w:val="de-DE"/>
        </w:rPr>
        <w:t>Index of Tables</w:t>
      </w:r>
    </w:p>
    <w:p w:rsidR="00E22226" w:rsidRPr="009D52FE" w:rsidRDefault="00644725" w:rsidP="00E22226">
      <w:pPr>
        <w:pStyle w:val="Platteteks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2D4569" w:rsidRPr="009D52FE" w:rsidRDefault="002D4569" w:rsidP="002D4569">
      <w:pPr>
        <w:pStyle w:val="Plattetekst"/>
        <w:rPr>
          <w:lang w:val="de-DE"/>
        </w:rPr>
      </w:pPr>
    </w:p>
    <w:p w:rsidR="002D4569" w:rsidRPr="009D52FE" w:rsidRDefault="002D4569" w:rsidP="00D30727">
      <w:pPr>
        <w:pStyle w:val="Titel"/>
        <w:rPr>
          <w:lang w:val="de-DE"/>
        </w:rPr>
      </w:pPr>
      <w:r w:rsidRPr="009D52FE">
        <w:rPr>
          <w:lang w:val="de-DE"/>
        </w:rPr>
        <w:t>Index of Figures</w:t>
      </w:r>
    </w:p>
    <w:p w:rsidR="002D4569" w:rsidRPr="009D52FE" w:rsidRDefault="00644725" w:rsidP="002D4569">
      <w:pPr>
        <w:pStyle w:val="Platteteks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985597" w:rsidRDefault="00460028" w:rsidP="00D30727">
      <w:pPr>
        <w:pStyle w:val="Titel"/>
      </w:pPr>
      <w:r w:rsidRPr="009D52FE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CF54B2">
        <w:t>8</w:t>
      </w:r>
      <w:r w:rsidR="005D08CF">
        <w:t xml:space="preserve"> - </w:t>
      </w:r>
    </w:p>
    <w:p w:rsidR="009E1230" w:rsidRPr="00985597" w:rsidRDefault="00CF54B2" w:rsidP="00985597">
      <w:pPr>
        <w:pStyle w:val="Plattetek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Test</w:t>
      </w:r>
      <w:r w:rsidR="009D52FE">
        <w:rPr>
          <w:b/>
          <w:sz w:val="32"/>
          <w:szCs w:val="32"/>
        </w:rPr>
        <w:t xml:space="preserve"> Model</w:t>
      </w:r>
    </w:p>
    <w:p w:rsidR="003C44EB" w:rsidRDefault="003C44EB" w:rsidP="00EE3BAA">
      <w:pPr>
        <w:pStyle w:val="Kop1"/>
        <w:numPr>
          <w:ilvl w:val="0"/>
          <w:numId w:val="1"/>
        </w:numPr>
      </w:pPr>
      <w:bookmarkStart w:id="0" w:name="_Toc216489705"/>
      <w:r w:rsidRPr="009D52FE">
        <w:t>Introduction</w:t>
      </w:r>
      <w:bookmarkEnd w:id="0"/>
    </w:p>
    <w:p w:rsidR="002D2E9B" w:rsidRDefault="008F0139" w:rsidP="008F0139">
      <w:pPr>
        <w:rPr>
          <w:b/>
        </w:rPr>
      </w:pPr>
      <w:r>
        <w:rPr>
          <w:b/>
        </w:rPr>
        <w:t xml:space="preserve">Test model </w:t>
      </w:r>
      <w:r>
        <w:rPr>
          <w:b/>
        </w:rPr>
        <w:tab/>
      </w:r>
    </w:p>
    <w:p w:rsidR="002D2E9B" w:rsidRDefault="002D2E9B" w:rsidP="008F0139">
      <w:pPr>
        <w:rPr>
          <w:b/>
        </w:rPr>
      </w:pPr>
    </w:p>
    <w:p w:rsidR="002D2E9B" w:rsidRPr="00276E18" w:rsidRDefault="002D2E9B" w:rsidP="008F0139">
      <w:pPr>
        <w:rPr>
          <w:highlight w:val="yellow"/>
        </w:rPr>
      </w:pPr>
      <w:r w:rsidRPr="00276E18">
        <w:rPr>
          <w:highlight w:val="yellow"/>
        </w:rPr>
        <w:t>What’s need</w:t>
      </w:r>
      <w:r w:rsidR="00A71176">
        <w:rPr>
          <w:highlight w:val="yellow"/>
        </w:rPr>
        <w:t>s</w:t>
      </w:r>
      <w:r w:rsidRPr="00276E18">
        <w:rPr>
          <w:highlight w:val="yellow"/>
        </w:rPr>
        <w:t xml:space="preserve"> to be tested,</w:t>
      </w:r>
    </w:p>
    <w:p w:rsidR="002D2E9B" w:rsidRPr="00276E18" w:rsidRDefault="002D2E9B" w:rsidP="008F0139">
      <w:pPr>
        <w:rPr>
          <w:highlight w:val="yellow"/>
        </w:rPr>
      </w:pPr>
      <w:r w:rsidRPr="00276E18">
        <w:rPr>
          <w:highlight w:val="yellow"/>
        </w:rPr>
        <w:t>Where the tests have to be executed;</w:t>
      </w:r>
    </w:p>
    <w:p w:rsidR="002D2E9B" w:rsidRPr="00276E18" w:rsidRDefault="002D2E9B" w:rsidP="008F0139">
      <w:pPr>
        <w:rPr>
          <w:highlight w:val="yellow"/>
        </w:rPr>
      </w:pPr>
      <w:r w:rsidRPr="00276E18">
        <w:rPr>
          <w:highlight w:val="yellow"/>
        </w:rPr>
        <w:t xml:space="preserve">Competent Authority </w:t>
      </w:r>
    </w:p>
    <w:p w:rsidR="002D2E9B" w:rsidRPr="00276E18" w:rsidRDefault="002D2E9B" w:rsidP="008F0139">
      <w:pPr>
        <w:rPr>
          <w:b/>
          <w:highlight w:val="yellow"/>
        </w:rPr>
      </w:pPr>
    </w:p>
    <w:p w:rsidR="002D2E9B" w:rsidRPr="00276E18" w:rsidRDefault="008F0139" w:rsidP="008F0139">
      <w:pPr>
        <w:rPr>
          <w:highlight w:val="yellow"/>
        </w:rPr>
      </w:pPr>
      <w:r w:rsidRPr="00276E18">
        <w:rPr>
          <w:highlight w:val="yellow"/>
        </w:rPr>
        <w:t>The Test Model for the service:</w:t>
      </w:r>
    </w:p>
    <w:p w:rsidR="008F0139" w:rsidRPr="00276E18" w:rsidRDefault="008F0139" w:rsidP="008F0139">
      <w:pPr>
        <w:numPr>
          <w:ilvl w:val="0"/>
          <w:numId w:val="31"/>
        </w:numPr>
        <w:tabs>
          <w:tab w:val="num" w:pos="360"/>
        </w:tabs>
        <w:ind w:left="360"/>
        <w:rPr>
          <w:highlight w:val="yellow"/>
        </w:rPr>
      </w:pPr>
      <w:r w:rsidRPr="00276E18">
        <w:rPr>
          <w:highlight w:val="yellow"/>
        </w:rPr>
        <w:t xml:space="preserve">describes what are good test </w:t>
      </w:r>
      <w:r w:rsidRPr="00276E18">
        <w:rPr>
          <w:i/>
          <w:highlight w:val="yellow"/>
        </w:rPr>
        <w:t>strategies</w:t>
      </w:r>
      <w:r w:rsidRPr="00276E18">
        <w:rPr>
          <w:color w:val="FF0000"/>
          <w:highlight w:val="yellow"/>
        </w:rPr>
        <w:t xml:space="preserve"> </w:t>
      </w:r>
      <w:r w:rsidR="00BC238A" w:rsidRPr="00276E18">
        <w:rPr>
          <w:color w:val="FF0000"/>
          <w:highlight w:val="yellow"/>
        </w:rPr>
        <w:t xml:space="preserve">for </w:t>
      </w:r>
      <w:r w:rsidRPr="00276E18">
        <w:rPr>
          <w:highlight w:val="yellow"/>
        </w:rPr>
        <w:t>the service as a whole</w:t>
      </w:r>
      <w:r w:rsidR="00BC238A" w:rsidRPr="00276E18">
        <w:rPr>
          <w:highlight w:val="yellow"/>
        </w:rPr>
        <w:t>, and</w:t>
      </w:r>
      <w:r w:rsidRPr="00276E18">
        <w:rPr>
          <w:highlight w:val="yellow"/>
        </w:rPr>
        <w:t xml:space="preserve"> for Technical Operation Personnel</w:t>
      </w:r>
      <w:r w:rsidR="002D2E9B" w:rsidRPr="00276E18">
        <w:rPr>
          <w:highlight w:val="yellow"/>
        </w:rPr>
        <w:t xml:space="preserve"> (take into consideration hierarchical test model of System/subsystems) </w:t>
      </w:r>
      <w:r w:rsidRPr="00276E18">
        <w:rPr>
          <w:highlight w:val="yellow"/>
        </w:rPr>
        <w:t xml:space="preserve">, and </w:t>
      </w:r>
    </w:p>
    <w:p w:rsidR="008F0139" w:rsidRPr="00276E18" w:rsidRDefault="002B4A32" w:rsidP="008F0139">
      <w:pPr>
        <w:numPr>
          <w:ilvl w:val="0"/>
          <w:numId w:val="31"/>
        </w:numPr>
        <w:tabs>
          <w:tab w:val="num" w:pos="360"/>
        </w:tabs>
        <w:ind w:left="360"/>
        <w:rPr>
          <w:highlight w:val="yellow"/>
        </w:rPr>
      </w:pPr>
      <w:r w:rsidRPr="00276E18">
        <w:rPr>
          <w:highlight w:val="yellow"/>
        </w:rPr>
        <w:t>provide</w:t>
      </w:r>
      <w:r w:rsidR="008F0139" w:rsidRPr="00276E18">
        <w:rPr>
          <w:highlight w:val="yellow"/>
        </w:rPr>
        <w:t xml:space="preserve"> guidance how to ascertain the proper function of an service </w:t>
      </w:r>
      <w:r w:rsidR="00BC238A" w:rsidRPr="00276E18">
        <w:rPr>
          <w:color w:val="FF0000"/>
          <w:highlight w:val="yellow"/>
        </w:rPr>
        <w:t>before</w:t>
      </w:r>
      <w:r w:rsidRPr="00276E18">
        <w:rPr>
          <w:color w:val="FF0000"/>
          <w:highlight w:val="yellow"/>
        </w:rPr>
        <w:t xml:space="preserve"> and</w:t>
      </w:r>
      <w:r w:rsidR="00BC238A" w:rsidRPr="00276E18">
        <w:rPr>
          <w:color w:val="FF0000"/>
          <w:highlight w:val="yellow"/>
        </w:rPr>
        <w:t xml:space="preserve"> </w:t>
      </w:r>
      <w:r w:rsidR="008F0139" w:rsidRPr="00276E18">
        <w:rPr>
          <w:highlight w:val="yellow"/>
        </w:rPr>
        <w:t>after cold or warm start.</w:t>
      </w:r>
    </w:p>
    <w:p w:rsidR="002B4A32" w:rsidRPr="00276E18" w:rsidRDefault="002B4A32" w:rsidP="008F0139">
      <w:pPr>
        <w:numPr>
          <w:ilvl w:val="0"/>
          <w:numId w:val="31"/>
        </w:numPr>
        <w:tabs>
          <w:tab w:val="num" w:pos="360"/>
        </w:tabs>
        <w:ind w:left="360"/>
        <w:rPr>
          <w:color w:val="FF0000"/>
          <w:highlight w:val="yellow"/>
        </w:rPr>
      </w:pPr>
      <w:r w:rsidRPr="00276E18">
        <w:rPr>
          <w:color w:val="FF0000"/>
          <w:highlight w:val="yellow"/>
        </w:rPr>
        <w:t>Should be more examples</w:t>
      </w:r>
    </w:p>
    <w:p w:rsidR="000B07C3" w:rsidRPr="00276E18" w:rsidRDefault="000B07C3" w:rsidP="008F0139">
      <w:pPr>
        <w:pStyle w:val="Plattetekst"/>
        <w:rPr>
          <w:highlight w:val="yellow"/>
          <w:lang w:eastAsia="de-DE"/>
        </w:rPr>
      </w:pPr>
    </w:p>
    <w:p w:rsidR="008F0139" w:rsidRPr="00276E18" w:rsidRDefault="002D2E9B" w:rsidP="008F0139">
      <w:pPr>
        <w:pStyle w:val="Platteteks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COMPLIANCE </w:t>
      </w:r>
    </w:p>
    <w:p w:rsidR="002D2E9B" w:rsidRPr="00276E18" w:rsidRDefault="002D2E9B" w:rsidP="008F0139">
      <w:pPr>
        <w:pStyle w:val="Platteteks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System Operation and Verification Test</w:t>
      </w:r>
    </w:p>
    <w:p w:rsidR="002D2E9B" w:rsidRPr="00276E18" w:rsidRDefault="002D2E9B" w:rsidP="008F0139">
      <w:pPr>
        <w:pStyle w:val="Plattetekst"/>
        <w:rPr>
          <w:highlight w:val="yellow"/>
          <w:lang w:eastAsia="de-DE"/>
        </w:rPr>
      </w:pPr>
    </w:p>
    <w:p w:rsidR="008F0139" w:rsidRPr="00276E18" w:rsidRDefault="008F0139" w:rsidP="008F0139">
      <w:pPr>
        <w:pStyle w:val="Platteteks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Strategy for Operation Personnel</w:t>
      </w:r>
      <w:r w:rsidR="007C1024" w:rsidRPr="00276E18">
        <w:rPr>
          <w:highlight w:val="yellow"/>
          <w:lang w:eastAsia="de-DE"/>
        </w:rPr>
        <w:t>:</w:t>
      </w:r>
    </w:p>
    <w:p w:rsidR="00566680" w:rsidRPr="00276E18" w:rsidRDefault="00566680" w:rsidP="000B07C3">
      <w:pPr>
        <w:pStyle w:val="Platteteks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Management shall be assured that all person</w:t>
      </w:r>
      <w:r w:rsidR="002B4A32" w:rsidRPr="00276E18">
        <w:rPr>
          <w:highlight w:val="yellow"/>
          <w:lang w:eastAsia="de-DE"/>
        </w:rPr>
        <w:t>ne</w:t>
      </w:r>
      <w:r w:rsidRPr="00276E18">
        <w:rPr>
          <w:highlight w:val="yellow"/>
          <w:lang w:eastAsia="de-DE"/>
        </w:rPr>
        <w:t>l are correct educated and trained</w:t>
      </w:r>
    </w:p>
    <w:p w:rsidR="008F0139" w:rsidRPr="00276E18" w:rsidRDefault="00566680" w:rsidP="000B07C3">
      <w:pPr>
        <w:pStyle w:val="Platteteks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Management shall assure that testing procedures follows </w:t>
      </w:r>
      <w:r w:rsidR="002B4A32" w:rsidRPr="00276E18">
        <w:rPr>
          <w:highlight w:val="yellow"/>
          <w:lang w:eastAsia="de-DE"/>
        </w:rPr>
        <w:t>manufacturer’s</w:t>
      </w:r>
      <w:r w:rsidRPr="00276E18">
        <w:rPr>
          <w:highlight w:val="yellow"/>
          <w:lang w:eastAsia="de-DE"/>
        </w:rPr>
        <w:t xml:space="preserve"> book</w:t>
      </w:r>
    </w:p>
    <w:p w:rsidR="00566680" w:rsidRPr="00276E18" w:rsidRDefault="00566680" w:rsidP="000B07C3">
      <w:pPr>
        <w:pStyle w:val="Platteteks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Perso</w:t>
      </w:r>
      <w:r w:rsidR="002B4A32" w:rsidRPr="00276E18">
        <w:rPr>
          <w:highlight w:val="yellow"/>
          <w:lang w:eastAsia="de-DE"/>
        </w:rPr>
        <w:t>nne</w:t>
      </w:r>
      <w:r w:rsidRPr="00276E18">
        <w:rPr>
          <w:highlight w:val="yellow"/>
          <w:lang w:eastAsia="de-DE"/>
        </w:rPr>
        <w:t>l should know what kind of services are provided and have technical knowledge on how it operates.</w:t>
      </w:r>
    </w:p>
    <w:p w:rsidR="002B7EBD" w:rsidRPr="00276E18" w:rsidRDefault="002B7EBD" w:rsidP="000B07C3">
      <w:pPr>
        <w:pStyle w:val="Platteteks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Personnel must know how a specific service function operates in the total service process</w:t>
      </w:r>
    </w:p>
    <w:p w:rsidR="000254F6" w:rsidRPr="00276E18" w:rsidRDefault="00C25C82" w:rsidP="002B7EBD">
      <w:pPr>
        <w:pStyle w:val="Plattetekst"/>
        <w:numPr>
          <w:ilvl w:val="0"/>
          <w:numId w:val="32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CSSA Procedures should be developed to instruct personal on how to handle component based testing but also system wide testing in integrated systems</w:t>
      </w:r>
    </w:p>
    <w:p w:rsidR="002B7EBD" w:rsidRPr="00276E18" w:rsidRDefault="002B7EBD" w:rsidP="000B07C3">
      <w:pPr>
        <w:pStyle w:val="Plattetekst"/>
        <w:numPr>
          <w:ilvl w:val="0"/>
          <w:numId w:val="32"/>
        </w:numPr>
        <w:rPr>
          <w:highlight w:val="yellow"/>
          <w:lang w:eastAsia="de-DE"/>
        </w:rPr>
      </w:pPr>
    </w:p>
    <w:p w:rsidR="00566680" w:rsidRPr="00276E18" w:rsidRDefault="007C1024" w:rsidP="008F0139">
      <w:pPr>
        <w:pStyle w:val="Platteteks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Guidance:</w:t>
      </w:r>
    </w:p>
    <w:p w:rsidR="003032CB" w:rsidRPr="00276E18" w:rsidRDefault="003032CB" w:rsidP="000B07C3">
      <w:pPr>
        <w:pStyle w:val="Platteteks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Striving to use </w:t>
      </w:r>
      <w:r w:rsidR="00F179D4" w:rsidRPr="00276E18">
        <w:rPr>
          <w:highlight w:val="yellow"/>
          <w:lang w:eastAsia="de-DE"/>
        </w:rPr>
        <w:t xml:space="preserve">existing </w:t>
      </w:r>
      <w:r w:rsidRPr="00276E18">
        <w:rPr>
          <w:highlight w:val="yellow"/>
          <w:lang w:eastAsia="de-DE"/>
        </w:rPr>
        <w:t>international standards for testings</w:t>
      </w:r>
      <w:r w:rsidR="0061105A" w:rsidRPr="00276E18">
        <w:rPr>
          <w:highlight w:val="yellow"/>
          <w:lang w:eastAsia="de-DE"/>
        </w:rPr>
        <w:t xml:space="preserve">, ex IEC standards and site acceptance tests procedures </w:t>
      </w:r>
    </w:p>
    <w:p w:rsidR="00825493" w:rsidRPr="00276E18" w:rsidRDefault="00825493" w:rsidP="000B07C3">
      <w:pPr>
        <w:pStyle w:val="Platteteks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Being aware of the difference of software and hardware testmodels</w:t>
      </w:r>
    </w:p>
    <w:p w:rsidR="00566680" w:rsidRPr="00276E18" w:rsidRDefault="00BC238A" w:rsidP="000B07C3">
      <w:pPr>
        <w:pStyle w:val="Platteteks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All operating system should have self-testing function</w:t>
      </w:r>
      <w:r w:rsidR="00566680" w:rsidRPr="00276E18">
        <w:rPr>
          <w:highlight w:val="yellow"/>
          <w:lang w:eastAsia="de-DE"/>
        </w:rPr>
        <w:t xml:space="preserve"> </w:t>
      </w:r>
      <w:r w:rsidRPr="00276E18">
        <w:rPr>
          <w:highlight w:val="yellow"/>
          <w:lang w:eastAsia="de-DE"/>
        </w:rPr>
        <w:t>and vendors must provide guidance how to test their equipment.</w:t>
      </w:r>
    </w:p>
    <w:p w:rsidR="002B4A32" w:rsidRPr="00276E18" w:rsidRDefault="002B4A32" w:rsidP="000B07C3">
      <w:pPr>
        <w:pStyle w:val="Platteteks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All equipment should be regularly tested and approved by </w:t>
      </w:r>
      <w:r w:rsidR="00F179D4" w:rsidRPr="00276E18">
        <w:rPr>
          <w:highlight w:val="yellow"/>
          <w:lang w:eastAsia="de-DE"/>
        </w:rPr>
        <w:t xml:space="preserve">vendor or </w:t>
      </w:r>
      <w:r w:rsidRPr="00276E18">
        <w:rPr>
          <w:highlight w:val="yellow"/>
          <w:lang w:eastAsia="de-DE"/>
        </w:rPr>
        <w:t>licensed service company</w:t>
      </w:r>
    </w:p>
    <w:p w:rsidR="008F0139" w:rsidRPr="00276E18" w:rsidRDefault="008F0139" w:rsidP="000B07C3">
      <w:pPr>
        <w:pStyle w:val="Platteteks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Be certain of the origin of data</w:t>
      </w:r>
      <w:r w:rsidR="000C2569" w:rsidRPr="00276E18">
        <w:rPr>
          <w:highlight w:val="yellow"/>
          <w:lang w:eastAsia="de-DE"/>
        </w:rPr>
        <w:t xml:space="preserve"> source</w:t>
      </w:r>
      <w:r w:rsidR="00E60AE3" w:rsidRPr="00276E18">
        <w:rPr>
          <w:highlight w:val="yellow"/>
          <w:lang w:eastAsia="de-DE"/>
        </w:rPr>
        <w:t xml:space="preserve">, </w:t>
      </w:r>
      <w:r w:rsidR="000C2569" w:rsidRPr="00276E18">
        <w:rPr>
          <w:highlight w:val="yellow"/>
          <w:lang w:eastAsia="de-DE"/>
        </w:rPr>
        <w:t>integrity</w:t>
      </w:r>
      <w:r w:rsidR="00E60AE3" w:rsidRPr="00276E18">
        <w:rPr>
          <w:highlight w:val="yellow"/>
          <w:lang w:eastAsia="de-DE"/>
        </w:rPr>
        <w:t>, plausibility,</w:t>
      </w:r>
    </w:p>
    <w:p w:rsidR="008F0139" w:rsidRPr="00276E18" w:rsidRDefault="008F0139" w:rsidP="000B07C3">
      <w:pPr>
        <w:pStyle w:val="Platteteks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Check the A</w:t>
      </w:r>
      <w:r w:rsidR="000C2569" w:rsidRPr="00276E18">
        <w:rPr>
          <w:highlight w:val="yellow"/>
          <w:lang w:eastAsia="de-DE"/>
        </w:rPr>
        <w:t>-</w:t>
      </w:r>
      <w:r w:rsidRPr="00276E18">
        <w:rPr>
          <w:highlight w:val="yellow"/>
          <w:lang w:eastAsia="de-DE"/>
        </w:rPr>
        <w:t xml:space="preserve">D converters </w:t>
      </w:r>
      <w:r w:rsidR="000C2569" w:rsidRPr="00276E18">
        <w:rPr>
          <w:highlight w:val="yellow"/>
          <w:lang w:eastAsia="de-DE"/>
        </w:rPr>
        <w:t xml:space="preserve">that </w:t>
      </w:r>
      <w:r w:rsidRPr="00276E18">
        <w:rPr>
          <w:highlight w:val="yellow"/>
          <w:lang w:eastAsia="de-DE"/>
        </w:rPr>
        <w:t xml:space="preserve">they </w:t>
      </w:r>
      <w:r w:rsidR="000C2569" w:rsidRPr="00276E18">
        <w:rPr>
          <w:highlight w:val="yellow"/>
          <w:lang w:eastAsia="de-DE"/>
        </w:rPr>
        <w:t xml:space="preserve">do </w:t>
      </w:r>
      <w:r w:rsidRPr="00276E18">
        <w:rPr>
          <w:highlight w:val="yellow"/>
          <w:lang w:eastAsia="de-DE"/>
        </w:rPr>
        <w:t>operate</w:t>
      </w:r>
    </w:p>
    <w:p w:rsidR="000B07C3" w:rsidRPr="00276E18" w:rsidRDefault="00825493" w:rsidP="000B07C3">
      <w:pPr>
        <w:pStyle w:val="Plattetekst"/>
        <w:numPr>
          <w:ilvl w:val="0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How to manage the improvement of services</w:t>
      </w:r>
    </w:p>
    <w:p w:rsidR="000B07C3" w:rsidRPr="00276E18" w:rsidRDefault="00F179D4" w:rsidP="000B07C3">
      <w:pPr>
        <w:pStyle w:val="Plattetekst"/>
        <w:numPr>
          <w:ilvl w:val="1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Check that manufacture</w:t>
      </w:r>
      <w:r w:rsidR="007C1024" w:rsidRPr="00276E18">
        <w:rPr>
          <w:highlight w:val="yellow"/>
          <w:lang w:eastAsia="de-DE"/>
        </w:rPr>
        <w:t>r</w:t>
      </w:r>
      <w:r w:rsidRPr="00276E18">
        <w:rPr>
          <w:highlight w:val="yellow"/>
          <w:lang w:eastAsia="de-DE"/>
        </w:rPr>
        <w:t xml:space="preserve"> and/or system provide measureable</w:t>
      </w:r>
      <w:r w:rsidR="000B07C3" w:rsidRPr="00276E18">
        <w:rPr>
          <w:highlight w:val="yellow"/>
          <w:lang w:eastAsia="de-DE"/>
        </w:rPr>
        <w:t xml:space="preserve"> metrics to judge service quality</w:t>
      </w:r>
    </w:p>
    <w:p w:rsidR="000B07C3" w:rsidRPr="00276E18" w:rsidRDefault="00F179D4" w:rsidP="000B07C3">
      <w:pPr>
        <w:pStyle w:val="Plattetekst"/>
        <w:numPr>
          <w:ilvl w:val="1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lastRenderedPageBreak/>
        <w:t>Check that manufacture</w:t>
      </w:r>
      <w:r w:rsidR="007C1024" w:rsidRPr="00276E18">
        <w:rPr>
          <w:highlight w:val="yellow"/>
          <w:lang w:eastAsia="de-DE"/>
        </w:rPr>
        <w:t>r</w:t>
      </w:r>
      <w:r w:rsidRPr="00276E18">
        <w:rPr>
          <w:highlight w:val="yellow"/>
          <w:lang w:eastAsia="de-DE"/>
        </w:rPr>
        <w:t xml:space="preserve"> and/or system provide trouble shooting guideline</w:t>
      </w:r>
    </w:p>
    <w:p w:rsidR="00F179D4" w:rsidRPr="00276E18" w:rsidRDefault="00F179D4" w:rsidP="000B07C3">
      <w:pPr>
        <w:pStyle w:val="Plattetekst"/>
        <w:numPr>
          <w:ilvl w:val="1"/>
          <w:numId w:val="33"/>
        </w:numPr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>Check that manufacture</w:t>
      </w:r>
      <w:r w:rsidR="007C1024" w:rsidRPr="00276E18">
        <w:rPr>
          <w:highlight w:val="yellow"/>
          <w:lang w:eastAsia="de-DE"/>
        </w:rPr>
        <w:t>r</w:t>
      </w:r>
      <w:r w:rsidRPr="00276E18">
        <w:rPr>
          <w:highlight w:val="yellow"/>
          <w:lang w:eastAsia="de-DE"/>
        </w:rPr>
        <w:t xml:space="preserve"> and/or system provide mechanism to improve service </w:t>
      </w:r>
    </w:p>
    <w:p w:rsidR="00F179D4" w:rsidRPr="00276E18" w:rsidRDefault="00F179D4" w:rsidP="000B07C3">
      <w:pPr>
        <w:pStyle w:val="Plattetekst"/>
        <w:rPr>
          <w:highlight w:val="yellow"/>
          <w:lang w:eastAsia="de-DE"/>
        </w:rPr>
      </w:pPr>
    </w:p>
    <w:p w:rsidR="009D52FE" w:rsidRPr="009D52FE" w:rsidRDefault="009D52FE" w:rsidP="009D52FE">
      <w:pPr>
        <w:pStyle w:val="Plattetekst"/>
        <w:rPr>
          <w:highlight w:val="yellow"/>
          <w:lang w:eastAsia="de-DE"/>
        </w:rPr>
      </w:pPr>
      <w:r w:rsidRPr="00276E18">
        <w:rPr>
          <w:highlight w:val="yellow"/>
          <w:lang w:eastAsia="de-DE"/>
        </w:rPr>
        <w:t xml:space="preserve">--- develop the structure </w:t>
      </w:r>
      <w:r w:rsidRPr="009D52FE">
        <w:rPr>
          <w:highlight w:val="yellow"/>
          <w:lang w:eastAsia="de-DE"/>
        </w:rPr>
        <w:t>of the Appendix.</w:t>
      </w:r>
    </w:p>
    <w:p w:rsidR="009D52FE" w:rsidRPr="009D52FE" w:rsidRDefault="009D52FE" w:rsidP="009D52FE">
      <w:pPr>
        <w:pStyle w:val="Plattetekst"/>
        <w:rPr>
          <w:lang w:eastAsia="de-DE"/>
        </w:rPr>
      </w:pPr>
      <w:r w:rsidRPr="009D52FE">
        <w:rPr>
          <w:highlight w:val="yellow"/>
          <w:lang w:eastAsia="de-DE"/>
        </w:rPr>
        <w:t>--- for a brief content description compare appropriate section in Main part of the Recommendation</w:t>
      </w:r>
    </w:p>
    <w:sectPr w:rsidR="009D52FE" w:rsidRPr="009D52FE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F07" w:rsidRDefault="006D5F07" w:rsidP="009E1230">
      <w:r>
        <w:separator/>
      </w:r>
    </w:p>
  </w:endnote>
  <w:endnote w:type="continuationSeparator" w:id="0">
    <w:p w:rsidR="006D5F07" w:rsidRDefault="006D5F07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A5" w:rsidRDefault="00A118A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644725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644725" w:rsidRPr="008136BC">
      <w:rPr>
        <w:lang w:val="en-US"/>
      </w:rPr>
      <w:fldChar w:fldCharType="separate"/>
    </w:r>
    <w:r w:rsidR="00A118A5">
      <w:rPr>
        <w:noProof/>
        <w:lang w:val="en-US"/>
      </w:rPr>
      <w:t>2</w:t>
    </w:r>
    <w:r w:rsidR="00644725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644725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644725" w:rsidRPr="008136BC">
      <w:rPr>
        <w:lang w:val="en-US"/>
      </w:rPr>
      <w:fldChar w:fldCharType="separate"/>
    </w:r>
    <w:r w:rsidR="00A118A5">
      <w:rPr>
        <w:noProof/>
        <w:lang w:val="en-US"/>
      </w:rPr>
      <w:t>5</w:t>
    </w:r>
    <w:r w:rsidR="00644725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A5" w:rsidRDefault="00A118A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F07" w:rsidRDefault="006D5F07" w:rsidP="009E1230">
      <w:r>
        <w:separator/>
      </w:r>
    </w:p>
  </w:footnote>
  <w:footnote w:type="continuationSeparator" w:id="0">
    <w:p w:rsidR="006D5F07" w:rsidRDefault="006D5F07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8A5" w:rsidRDefault="00A118A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C" w:rsidRPr="009D52FE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CF54B2">
      <w:t>8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CF54B2">
      <w:t>Test</w:t>
    </w:r>
    <w:r w:rsidR="009D52FE" w:rsidRPr="009D52FE">
      <w:t xml:space="preserve"> Model</w:t>
    </w:r>
  </w:p>
  <w:p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0E" w:rsidRPr="00A118A5" w:rsidRDefault="00A118A5" w:rsidP="00A118A5">
    <w:pPr>
      <w:pStyle w:val="Koptekst"/>
      <w:jc w:val="right"/>
    </w:pPr>
    <w:r w:rsidRPr="00A118A5">
      <w:t>ENAV15-14.2.18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CB404C7"/>
    <w:multiLevelType w:val="hybridMultilevel"/>
    <w:tmpl w:val="D3841080"/>
    <w:lvl w:ilvl="0" w:tplc="F6DC0CB2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7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DC09DB"/>
    <w:multiLevelType w:val="hybridMultilevel"/>
    <w:tmpl w:val="7BBC4B88"/>
    <w:lvl w:ilvl="0" w:tplc="F3CA4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883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85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D0E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98E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90DD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3E53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4F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A48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1">
    <w:nsid w:val="57424657"/>
    <w:multiLevelType w:val="hybridMultilevel"/>
    <w:tmpl w:val="92FE999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42A6427"/>
    <w:multiLevelType w:val="hybridMultilevel"/>
    <w:tmpl w:val="059C76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7"/>
  </w:num>
  <w:num w:numId="6">
    <w:abstractNumId w:val="24"/>
  </w:num>
  <w:num w:numId="7">
    <w:abstractNumId w:val="16"/>
  </w:num>
  <w:num w:numId="8">
    <w:abstractNumId w:val="22"/>
  </w:num>
  <w:num w:numId="9">
    <w:abstractNumId w:val="11"/>
  </w:num>
  <w:num w:numId="10">
    <w:abstractNumId w:val="26"/>
  </w:num>
  <w:num w:numId="11">
    <w:abstractNumId w:val="20"/>
  </w:num>
  <w:num w:numId="12">
    <w:abstractNumId w:val="8"/>
  </w:num>
  <w:num w:numId="13">
    <w:abstractNumId w:val="3"/>
  </w:num>
  <w:num w:numId="14">
    <w:abstractNumId w:val="12"/>
  </w:num>
  <w:num w:numId="15">
    <w:abstractNumId w:val="19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5"/>
  </w:num>
  <w:num w:numId="29">
    <w:abstractNumId w:val="25"/>
  </w:num>
  <w:num w:numId="30">
    <w:abstractNumId w:val="25"/>
  </w:num>
  <w:num w:numId="31">
    <w:abstractNumId w:val="15"/>
  </w:num>
  <w:num w:numId="32">
    <w:abstractNumId w:val="23"/>
  </w:num>
  <w:num w:numId="33">
    <w:abstractNumId w:val="21"/>
  </w:num>
  <w:num w:numId="34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13689"/>
    <w:rsid w:val="000254F6"/>
    <w:rsid w:val="000420D8"/>
    <w:rsid w:val="0004410E"/>
    <w:rsid w:val="000448A8"/>
    <w:rsid w:val="00070873"/>
    <w:rsid w:val="000B07C3"/>
    <w:rsid w:val="000C2569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76E18"/>
    <w:rsid w:val="002B0D6C"/>
    <w:rsid w:val="002B4A32"/>
    <w:rsid w:val="002B7EBD"/>
    <w:rsid w:val="002D2E9B"/>
    <w:rsid w:val="002D4569"/>
    <w:rsid w:val="003032CB"/>
    <w:rsid w:val="0032752D"/>
    <w:rsid w:val="00351DF6"/>
    <w:rsid w:val="00370529"/>
    <w:rsid w:val="003757FB"/>
    <w:rsid w:val="00395D68"/>
    <w:rsid w:val="003A4769"/>
    <w:rsid w:val="003C25A1"/>
    <w:rsid w:val="003C44EB"/>
    <w:rsid w:val="003E137D"/>
    <w:rsid w:val="003E2801"/>
    <w:rsid w:val="003F23D2"/>
    <w:rsid w:val="003F5DE6"/>
    <w:rsid w:val="00402FBD"/>
    <w:rsid w:val="0041270A"/>
    <w:rsid w:val="00413466"/>
    <w:rsid w:val="00422E65"/>
    <w:rsid w:val="0044047B"/>
    <w:rsid w:val="0044197E"/>
    <w:rsid w:val="00460028"/>
    <w:rsid w:val="004668B4"/>
    <w:rsid w:val="004C2F5C"/>
    <w:rsid w:val="004E43E8"/>
    <w:rsid w:val="004F72F9"/>
    <w:rsid w:val="005207B2"/>
    <w:rsid w:val="00552D7F"/>
    <w:rsid w:val="00566680"/>
    <w:rsid w:val="00582569"/>
    <w:rsid w:val="005A79A1"/>
    <w:rsid w:val="005B2BD9"/>
    <w:rsid w:val="005C24F3"/>
    <w:rsid w:val="005D08CF"/>
    <w:rsid w:val="005D48AD"/>
    <w:rsid w:val="005F188D"/>
    <w:rsid w:val="006052C5"/>
    <w:rsid w:val="0061105A"/>
    <w:rsid w:val="00644725"/>
    <w:rsid w:val="00675FFD"/>
    <w:rsid w:val="00681BC4"/>
    <w:rsid w:val="00691B22"/>
    <w:rsid w:val="006D1C64"/>
    <w:rsid w:val="006D5F07"/>
    <w:rsid w:val="0072093C"/>
    <w:rsid w:val="00721DBE"/>
    <w:rsid w:val="00754427"/>
    <w:rsid w:val="007578C8"/>
    <w:rsid w:val="00767FC6"/>
    <w:rsid w:val="00774705"/>
    <w:rsid w:val="00775F55"/>
    <w:rsid w:val="00796BF5"/>
    <w:rsid w:val="007A25FA"/>
    <w:rsid w:val="007C1024"/>
    <w:rsid w:val="007D251F"/>
    <w:rsid w:val="007E43BC"/>
    <w:rsid w:val="00800D78"/>
    <w:rsid w:val="008136BC"/>
    <w:rsid w:val="00821CE7"/>
    <w:rsid w:val="00825493"/>
    <w:rsid w:val="00857962"/>
    <w:rsid w:val="00867C89"/>
    <w:rsid w:val="008931CC"/>
    <w:rsid w:val="008B3CBD"/>
    <w:rsid w:val="008F0139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118A5"/>
    <w:rsid w:val="00A13CBA"/>
    <w:rsid w:val="00A27A7A"/>
    <w:rsid w:val="00A3352D"/>
    <w:rsid w:val="00A6234F"/>
    <w:rsid w:val="00A71176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6755"/>
    <w:rsid w:val="00B91264"/>
    <w:rsid w:val="00BC238A"/>
    <w:rsid w:val="00BD2E47"/>
    <w:rsid w:val="00C23159"/>
    <w:rsid w:val="00C25C82"/>
    <w:rsid w:val="00C528B9"/>
    <w:rsid w:val="00C531DA"/>
    <w:rsid w:val="00C8750E"/>
    <w:rsid w:val="00C97FD2"/>
    <w:rsid w:val="00CB4864"/>
    <w:rsid w:val="00CC4B2D"/>
    <w:rsid w:val="00CD7575"/>
    <w:rsid w:val="00CD77CC"/>
    <w:rsid w:val="00CF54B2"/>
    <w:rsid w:val="00D05833"/>
    <w:rsid w:val="00D128D4"/>
    <w:rsid w:val="00D2145F"/>
    <w:rsid w:val="00D27F8E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60AE3"/>
    <w:rsid w:val="00E711D8"/>
    <w:rsid w:val="00E73E4C"/>
    <w:rsid w:val="00EA4919"/>
    <w:rsid w:val="00EB22A4"/>
    <w:rsid w:val="00EC597E"/>
    <w:rsid w:val="00EE340C"/>
    <w:rsid w:val="00EE3BAA"/>
    <w:rsid w:val="00F179D4"/>
    <w:rsid w:val="00F46430"/>
    <w:rsid w:val="00F53DB6"/>
    <w:rsid w:val="00F9544D"/>
    <w:rsid w:val="00FC3BBD"/>
    <w:rsid w:val="00FE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1756964-FB64-4080-9D91-BA63EDA5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8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NUL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ala-aism@wanadoo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85CE8-4A7A-4805-A80B-D4E87936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2651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5</cp:revision>
  <cp:lastPrinted>2008-12-16T06:04:00Z</cp:lastPrinted>
  <dcterms:created xsi:type="dcterms:W3CDTF">2014-09-04T08:44:00Z</dcterms:created>
  <dcterms:modified xsi:type="dcterms:W3CDTF">2014-10-16T12:06:00Z</dcterms:modified>
</cp:coreProperties>
</file>